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2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91"/>
        <w:gridCol w:w="702"/>
        <w:gridCol w:w="27"/>
        <w:gridCol w:w="103"/>
        <w:gridCol w:w="1431"/>
        <w:gridCol w:w="1609"/>
        <w:gridCol w:w="987"/>
        <w:gridCol w:w="20"/>
        <w:gridCol w:w="677"/>
        <w:gridCol w:w="1120"/>
        <w:gridCol w:w="265"/>
        <w:gridCol w:w="391"/>
        <w:gridCol w:w="183"/>
        <w:gridCol w:w="57"/>
        <w:gridCol w:w="1516"/>
        <w:gridCol w:w="11"/>
        <w:gridCol w:w="29"/>
      </w:tblGrid>
      <w:tr w:rsidR="00157DBA" w:rsidRPr="0055788B" w:rsidTr="007407EC">
        <w:trPr>
          <w:gridAfter w:val="2"/>
          <w:wAfter w:w="40" w:type="dxa"/>
          <w:trHeight w:val="289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  <w:hideMark/>
          </w:tcPr>
          <w:p w:rsidR="00157DBA" w:rsidRPr="0055788B" w:rsidRDefault="00F9616B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F416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15C00D" wp14:editId="1075A3A5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56" w:type="dxa"/>
            <w:gridSpan w:val="11"/>
            <w:vMerge w:val="restart"/>
          </w:tcPr>
          <w:p w:rsidR="007407EC" w:rsidRDefault="00F9616B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57DBA"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57DBA" w:rsidRPr="007407EC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407E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57DBA" w:rsidRPr="0055788B" w:rsidRDefault="00157DBA" w:rsidP="007407E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157DBA" w:rsidRPr="00843C22" w:rsidRDefault="00C23D78" w:rsidP="007407E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C684D">
              <w:rPr>
                <w:noProof/>
                <w:u w:val="single"/>
                <w:lang w:eastAsia="ru-RU"/>
              </w:rPr>
              <w:drawing>
                <wp:inline distT="0" distB="0" distL="0" distR="0" wp14:anchorId="0C139A28" wp14:editId="670DA042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DBA" w:rsidRP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57DBA" w:rsidRPr="0055788B" w:rsidRDefault="000275AB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</w:t>
            </w:r>
            <w:r w:rsidRPr="004771B0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708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</w:tcPr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0275AB" w:rsidRDefault="000275AB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157DBA" w:rsidRDefault="00157DBA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0275AB" w:rsidRDefault="000275AB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0275AB" w:rsidRPr="000275AB" w:rsidRDefault="000275AB" w:rsidP="000275AB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2C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7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2"/>
            </w:tblGrid>
            <w:tr w:rsidR="00157DBA" w:rsidRPr="0055788B" w:rsidTr="007407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C684D" w:rsidRDefault="00157DBA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157DBA" w:rsidRPr="0055788B" w:rsidRDefault="002C684D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C684D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157DBA" w:rsidRPr="0055788B" w:rsidRDefault="00157DBA" w:rsidP="002C68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55788B" w:rsidTr="007407E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7407EC" w:rsidP="002C684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0275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0275AB"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 БИОЛОГИЯ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4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55788B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157DBA" w:rsidRPr="0055788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55788B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Default="007407EC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157DBA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40.02.02</w:t>
                  </w:r>
                  <w:r w:rsidR="00157DBA" w:rsidRPr="0055788B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157D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Правоохранительная деятельность</w:t>
                  </w:r>
                </w:p>
                <w:p w:rsidR="000275AB" w:rsidRDefault="000275AB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275AB" w:rsidRPr="000275AB" w:rsidRDefault="000275AB" w:rsidP="000275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            </w:t>
                  </w:r>
                  <w:proofErr w:type="gramStart"/>
                  <w:r w:rsidRP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деятельность)</w:t>
                  </w:r>
                </w:p>
                <w:p w:rsidR="000275AB" w:rsidRPr="007407EC" w:rsidRDefault="000275AB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55788B" w:rsidTr="007407E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к</w:t>
                  </w:r>
                  <w:r w:rsidR="00157DBA" w:rsidRPr="0017024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157DBA" w:rsidRPr="001702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:</w:t>
                  </w:r>
                  <w:r w:rsidR="00157DBA" w:rsidRPr="0017024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157DBA" w:rsidRPr="0055788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Ю</w:t>
                  </w:r>
                  <w:r w:rsidR="001702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рист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1100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66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hideMark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EC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EC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EC" w:rsidRPr="0055788B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9"/>
            </w:tblGrid>
            <w:tr w:rsidR="00157DBA" w:rsidRPr="0055788B" w:rsidTr="007407E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57D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Новос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ибирск</w:t>
                  </w:r>
                  <w:proofErr w:type="spellEnd"/>
                </w:p>
                <w:p w:rsidR="00157DBA" w:rsidRPr="0055788B" w:rsidRDefault="00157DBA" w:rsidP="00F9616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961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157DBA" w:rsidRPr="0055788B" w:rsidRDefault="00157DBA" w:rsidP="00157DBA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157DBA" w:rsidRPr="0055788B" w:rsidTr="002C684D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2C684D" w:rsidRDefault="00157DBA" w:rsidP="002C684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lastRenderedPageBreak/>
                    <w:br w:type="page"/>
                  </w:r>
                  <w:r w:rsidR="004F5E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C684D" w:rsidRPr="002C68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7407E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</w:t>
                  </w:r>
                  <w:r w:rsidR="00F53D71" w:rsidRPr="00F53D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40.02.02 Правоохранительная деятельность</w:t>
                  </w:r>
                  <w:r w:rsidR="000275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 w:rsidR="000275AB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направленность:</w:t>
                  </w:r>
                  <w:proofErr w:type="gramEnd"/>
                  <w:r w:rsidR="000275AB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</w:t>
                  </w:r>
                  <w:r w:rsidR="000275A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утвержденного</w:t>
                  </w:r>
                  <w:proofErr w:type="gramEnd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приказом </w:t>
                  </w:r>
                  <w:proofErr w:type="spellStart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0275AB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России от 10.01.2025 № 3</w:t>
                  </w:r>
                  <w:r w:rsidR="000275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28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157DBA" w:rsidRPr="0055788B" w:rsidTr="007407EC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57DBA" w:rsidRPr="002C684D" w:rsidRDefault="00157DBA" w:rsidP="0074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 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57DBA" w:rsidRPr="0055788B" w:rsidTr="007407EC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57DBA" w:rsidRPr="0055788B" w:rsidTr="007407E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</w:t>
                  </w:r>
                  <w:r w:rsidRP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едры </w:t>
                  </w:r>
                  <w:r w:rsidR="002C684D"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10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5AB" w:rsidRDefault="000275AB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Pr="0055788B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Pr="0055788B" w:rsidRDefault="00157DBA" w:rsidP="00E8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2C684D"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лины </w:t>
            </w:r>
            <w:r w:rsid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9616B" w:rsidRPr="00F9616B">
              <w:rPr>
                <w:rFonts w:ascii="Times New Roman" w:eastAsia="Times New Roman" w:hAnsi="Times New Roman" w:cs="Times New Roman"/>
                <w:sz w:val="28"/>
                <w:szCs w:val="28"/>
              </w:rPr>
              <w:t>28.05.2025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№ </w:t>
            </w:r>
            <w:r w:rsidR="009B47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407EC" w:rsidRPr="0055788B" w:rsidRDefault="007407EC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C23D78" w:rsidRDefault="00C23D78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2C684D" w:rsidRDefault="002C684D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C684D">
                    <w:rPr>
                      <w:noProof/>
                      <w:lang w:eastAsia="ru-RU"/>
                    </w:rPr>
                    <w:drawing>
                      <wp:inline distT="0" distB="0" distL="0" distR="0" wp14:anchorId="646E1158" wp14:editId="6D9C4664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7EC" w:rsidRPr="005C5BA7" w:rsidRDefault="00157DBA" w:rsidP="004F5E3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br w:type="page"/>
      </w:r>
      <w:r w:rsidR="00C2259E"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2C684D" w:rsidRDefault="000275AB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2C684D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2C684D" w:rsidRDefault="000275AB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2C684D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2C684D" w:rsidRDefault="002C684D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sz w:val="28"/>
          <w:szCs w:val="28"/>
        </w:rPr>
        <w:t xml:space="preserve">4. </w:t>
      </w:r>
      <w:hyperlink w:anchor="bookmark50" w:tooltip="Current Document">
        <w:r w:rsidR="00C2259E" w:rsidRPr="002C684D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2C684D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2C684D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157DBA">
        <w:rPr>
          <w:rFonts w:ascii="Times New Roman" w:hAnsi="Times New Roman" w:cs="Times New Roman"/>
          <w:sz w:val="28"/>
          <w:szCs w:val="28"/>
        </w:rPr>
        <w:t>«</w:t>
      </w:r>
      <w:r w:rsidR="00157DBA" w:rsidRPr="00157DBA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157DBA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2C684D">
        <w:rPr>
          <w:rFonts w:ascii="Times New Roman" w:hAnsi="Times New Roman" w:cs="Times New Roman"/>
          <w:sz w:val="28"/>
          <w:szCs w:val="28"/>
        </w:rPr>
        <w:t>О</w:t>
      </w:r>
      <w:r w:rsidRPr="009B5668">
        <w:rPr>
          <w:rFonts w:ascii="Times New Roman" w:hAnsi="Times New Roman" w:cs="Times New Roman"/>
          <w:sz w:val="28"/>
          <w:szCs w:val="28"/>
        </w:rPr>
        <w:t>Д.13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="009414F9">
        <w:rPr>
          <w:rFonts w:ascii="Times New Roman" w:hAnsi="Times New Roman" w:cs="Times New Roman"/>
          <w:sz w:val="28"/>
          <w:szCs w:val="28"/>
        </w:rPr>
        <w:t>2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9B47B1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9B47B1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02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способность их использования в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7407E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7407E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симпатрического видообразования; влияния движущих сил эволюции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2C684D" w:rsidP="002C684D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7407EC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7407EC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551BD" w:rsidRPr="00765B25" w:rsidTr="007407EC">
        <w:trPr>
          <w:trHeight w:hRule="exact" w:val="828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7407EC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683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407EC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45" w:rsidRDefault="005551BD" w:rsidP="001F462F">
      <w:pPr>
        <w:jc w:val="center"/>
        <w:rPr>
          <w:rFonts w:ascii="Times New Roman" w:hAnsi="Times New Roman" w:cs="Times New Roman"/>
          <w:sz w:val="28"/>
          <w:szCs w:val="28"/>
        </w:rPr>
        <w:sectPr w:rsidR="009B4A45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1F462F" w:rsidRDefault="001F462F" w:rsidP="001F462F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1F462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1F462F" w:rsidRPr="001F462F" w:rsidTr="009B4A45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 органоиды клетки: рибосомы, микротрубочки, клеточный центр. Органоиды движения: реснички и жгутики. Строение и функции немембранных органоидов клетки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3 Структурно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1F462F" w:rsidRPr="001F462F" w:rsidRDefault="001F462F" w:rsidP="001F462F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4D6D6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1F462F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6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наследования признаков. Полигибридное наследование и его закономерности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Полимерия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Законы Т. Моргана. Сцепленное наследование генов, нарушение сцепления.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ромосомные, геномные. Причины возникновения мутаций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Селекция как наука. Методы селекционной работы. Гетерозис и его причины. Искусственный отбор: массовый и индивидуальный. 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омбинационн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селекци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Сорт, порода, штамм</w:t>
            </w:r>
          </w:p>
          <w:p w:rsidR="001F462F" w:rsidRPr="001F462F" w:rsidRDefault="006E6F9C" w:rsidP="006E6F9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Применение данных, которые может предоставить генетика (группы крови, наследование различных признаков, ДНК-экспертиза) в правоохранительной деятельности. 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F9C" w:rsidRDefault="006E6F9C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генетической информации (с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оставление генотипических схем 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 и умения с ней работать для решения профессиональных задач в правоохранительной деятельности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Северцов). Пути достижения биологического прогресса: ароморфоз, идиоадаптация, общая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самостоятельная работа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E87F68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1F462F" w:rsidRPr="001F462F" w:rsidRDefault="001F462F" w:rsidP="00AA362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AA362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E87F68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E87F68" w:rsidRDefault="00E87F68" w:rsidP="00E87F6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24097D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C684D" w:rsidRDefault="002C684D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2C684D" w:rsidRPr="002C684D" w:rsidRDefault="002C684D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</w:pPr>
    </w:p>
    <w:p w:rsidR="002C684D" w:rsidRDefault="002C684D" w:rsidP="002C684D">
      <w:pPr>
        <w:tabs>
          <w:tab w:val="left" w:pos="8397"/>
        </w:tabs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2C684D" w:rsidSect="009B4A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C684D" w:rsidRDefault="002C684D" w:rsidP="002C684D">
      <w:pPr>
        <w:tabs>
          <w:tab w:val="left" w:pos="8397"/>
        </w:tabs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2C684D" w:rsidSect="009B4A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4A45" w:rsidRPr="002C684D" w:rsidRDefault="009B4A45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9B4A45" w:rsidRPr="002C684D" w:rsidSect="002C684D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551BD" w:rsidRPr="005551BD" w:rsidRDefault="005551BD" w:rsidP="002C684D">
      <w:pPr>
        <w:widowControl w:val="0"/>
        <w:spacing w:after="0" w:line="1" w:lineRule="exact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2C684D" w:rsidRPr="002C684D" w:rsidRDefault="002C684D" w:rsidP="002C684D">
      <w:pPr>
        <w:widowControl w:val="0"/>
        <w:tabs>
          <w:tab w:val="left" w:pos="373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begin"/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separate"/>
      </w:r>
    </w:p>
    <w:p w:rsidR="002C684D" w:rsidRPr="002C684D" w:rsidRDefault="002C684D" w:rsidP="002C684D">
      <w:pPr>
        <w:widowControl w:val="0"/>
        <w:tabs>
          <w:tab w:val="left" w:pos="373"/>
          <w:tab w:val="left" w:leader="dot" w:pos="8988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3. 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end"/>
      </w:r>
    </w:p>
    <w:p w:rsidR="002C684D" w:rsidRDefault="002C684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BD" w:rsidRPr="000B7E19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19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0B7E19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0B7E19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407EC" w:rsidRPr="000B7E19" w:rsidRDefault="005551BD" w:rsidP="000B7E19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7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7407E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1.Биология. 10 класс : учебник для учащихся общеобразовательных организаций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:б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азовый уровень / И.Н.Пономарева, О.А. Корнилова, Т.Е. Лощилина ; под ред. И.Н.Пономаревой. - 5-е изд.,стер. - М.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Вентана-Граф, 2019. - 224с. : ил. - (Российский учебник).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2.Биология. 11 класс : учебник для учащихся общеобразовательных организаций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:б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азовый уровень / И.Н.Пономарева, О.А.Корнилова, Т.Е.Лощилина, П.В.Ижевский; под ред.И.Н.Пономаревой. - 5-е изд.,стер. - М.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Вентана-Граф, 2019.- 256с. : ил. - (Российский учебник).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407E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Заяц Р. Г. Биология для колледжей : общеобразовательная подготовка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:у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чебное пособие для СПО / Заяц Р. Г, В. Э. Бутвиловский. - Ростов н/Д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Феникс, 2017. - 318с. : ил. - (Среднее профессиональное образование). - Библиогр.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:с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.313. 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ISBN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978-5-222-27354-8.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Биология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СПО / В. Н. Ярыгин [и др.] ; под ред. В. Н. Ярыгина. — 2-е изд. — М. : Издательство Юрайт, 2019. — 378 с. — (Серия : </w:t>
                  </w:r>
                  <w:proofErr w:type="gram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Профессиональное образование).</w:t>
                  </w:r>
                  <w:proofErr w:type="gram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—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ISBN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978-5-534-09603-3.-Режим доступа: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https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://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biblio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online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book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biologiya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-433339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био-: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Windows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Word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Office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Microsoft Power Point,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2C684D" w:rsidRPr="002C684D" w:rsidRDefault="002C684D" w:rsidP="002C684D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2C684D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407EC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Default="007407EC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2177DB" w:rsidRDefault="007407EC" w:rsidP="007407E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6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ди-,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DA3D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задач 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7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4F03E1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9"/>
  </w:num>
  <w:num w:numId="12">
    <w:abstractNumId w:val="15"/>
  </w:num>
  <w:num w:numId="13">
    <w:abstractNumId w:val="12"/>
  </w:num>
  <w:num w:numId="14">
    <w:abstractNumId w:val="20"/>
  </w:num>
  <w:num w:numId="15">
    <w:abstractNumId w:val="8"/>
  </w:num>
  <w:num w:numId="16">
    <w:abstractNumId w:val="2"/>
  </w:num>
  <w:num w:numId="17">
    <w:abstractNumId w:val="0"/>
  </w:num>
  <w:num w:numId="18">
    <w:abstractNumId w:val="22"/>
  </w:num>
  <w:num w:numId="19">
    <w:abstractNumId w:val="21"/>
  </w:num>
  <w:num w:numId="20">
    <w:abstractNumId w:val="17"/>
  </w:num>
  <w:num w:numId="21">
    <w:abstractNumId w:val="5"/>
  </w:num>
  <w:num w:numId="22">
    <w:abstractNumId w:val="18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275AB"/>
    <w:rsid w:val="00067A37"/>
    <w:rsid w:val="000B7E19"/>
    <w:rsid w:val="0010353F"/>
    <w:rsid w:val="00157DBA"/>
    <w:rsid w:val="00165D63"/>
    <w:rsid w:val="0017024B"/>
    <w:rsid w:val="001D6291"/>
    <w:rsid w:val="001F462F"/>
    <w:rsid w:val="0024097D"/>
    <w:rsid w:val="002B0D71"/>
    <w:rsid w:val="002C684D"/>
    <w:rsid w:val="004620DE"/>
    <w:rsid w:val="004D6D6C"/>
    <w:rsid w:val="004F5E3D"/>
    <w:rsid w:val="005477CE"/>
    <w:rsid w:val="005551BD"/>
    <w:rsid w:val="005C5BA7"/>
    <w:rsid w:val="006E6F9C"/>
    <w:rsid w:val="007407EC"/>
    <w:rsid w:val="00765B25"/>
    <w:rsid w:val="00843C22"/>
    <w:rsid w:val="009414F9"/>
    <w:rsid w:val="00966B6E"/>
    <w:rsid w:val="009B47B1"/>
    <w:rsid w:val="009B4A45"/>
    <w:rsid w:val="00AA3621"/>
    <w:rsid w:val="00AA4B33"/>
    <w:rsid w:val="00B109BC"/>
    <w:rsid w:val="00B258AB"/>
    <w:rsid w:val="00C2259E"/>
    <w:rsid w:val="00C23D78"/>
    <w:rsid w:val="00DA3D94"/>
    <w:rsid w:val="00E732B4"/>
    <w:rsid w:val="00E87F68"/>
    <w:rsid w:val="00F510FD"/>
    <w:rsid w:val="00F53D71"/>
    <w:rsid w:val="00F775B9"/>
    <w:rsid w:val="00F9616B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3932-9295-4E6D-AB57-06A8773B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33</Pages>
  <Words>6700</Words>
  <Characters>38192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25</cp:revision>
  <dcterms:created xsi:type="dcterms:W3CDTF">2023-06-16T09:36:00Z</dcterms:created>
  <dcterms:modified xsi:type="dcterms:W3CDTF">2025-08-20T02:58:00Z</dcterms:modified>
</cp:coreProperties>
</file>